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56B0">
      <w:pPr>
        <w:suppressAutoHyphens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京市科学技术协会创新服务中心</w:t>
      </w:r>
    </w:p>
    <w:p w14:paraId="18B5D5FC">
      <w:pPr>
        <w:suppressAutoHyphens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北京科技服务团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项目管理办法</w:t>
      </w:r>
    </w:p>
    <w:p w14:paraId="7EAE901D">
      <w:pPr>
        <w:pStyle w:val="2"/>
        <w:widowControl/>
        <w:spacing w:before="0" w:beforeAutospacing="0" w:after="0" w:afterAutospacing="0" w:line="640" w:lineRule="exact"/>
        <w:jc w:val="center"/>
        <w:rPr>
          <w:rFonts w:ascii="楷体_GB2312" w:hAnsi="楷体_GB2312" w:eastAsia="楷体_GB2312" w:cs="楷体_GB2312"/>
          <w:b w:val="0"/>
          <w:bCs w:val="0"/>
          <w:color w:val="000000"/>
          <w:sz w:val="36"/>
          <w:szCs w:val="36"/>
        </w:rPr>
      </w:pPr>
      <w:r>
        <w:rPr>
          <w:rFonts w:ascii="楷体_GB2312" w:hAnsi="楷体_GB2312" w:eastAsia="楷体_GB2312" w:cs="楷体_GB2312"/>
          <w:b w:val="0"/>
          <w:bCs w:val="0"/>
          <w:color w:val="000000"/>
          <w:sz w:val="36"/>
          <w:szCs w:val="36"/>
        </w:rPr>
        <w:t>（2026年）</w:t>
      </w:r>
    </w:p>
    <w:p w14:paraId="1FCF8867"/>
    <w:p w14:paraId="79BB0EEA">
      <w:pPr>
        <w:tabs>
          <w:tab w:val="center" w:pos="4533"/>
          <w:tab w:val="left" w:pos="7497"/>
        </w:tabs>
        <w:suppressAutoHyphens/>
        <w:adjustRightInd w:val="0"/>
        <w:snapToGrid w:val="0"/>
        <w:spacing w:line="560" w:lineRule="exact"/>
        <w:jc w:val="center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第一章 总则</w:t>
      </w:r>
    </w:p>
    <w:p w14:paraId="10D93A9D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北京市科学技术协会创新服务中心北京科技服务团项目（以下简称“本项目”）全流程管理，提升项目实施效能，保障项目科学、规范、高效运行，依据国家及北京市相关政策文件，结合工作实际，制定本办法。</w:t>
      </w:r>
    </w:p>
    <w:p w14:paraId="0FA08D60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紧扣北京“十五五”规划中关于“加快提升国际科技创新中心发展能级，努力打造世界级科技创新策源地”的战略目标，广泛动员科技工作者面向经济主战场开展多元化精准科技服务，推动科技创新与产业创新深度融合，为首都高质量发展提供坚实的科技支撑。</w:t>
      </w:r>
    </w:p>
    <w:p w14:paraId="78556FB4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本项目由北京市科学技术协会创新服务中心（以下简称“中心”）统筹管理、组织实施；各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全国学会、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协会、研究会，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市级学会、基金会、产业联盟及基层组织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为本项目承接主体，按要求开展项目申报、实施、总结等工作；各区科协统筹协调辖区科技资源，积极参与项目开展，建立协同工作机制。</w:t>
      </w:r>
    </w:p>
    <w:p w14:paraId="6C960C47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本办法适用于本项目的申报、评审、立项、实施、经费管理、监督检查、项目验收、绩效评价等全流程工作。</w:t>
      </w:r>
    </w:p>
    <w:p w14:paraId="5CEBA8DA">
      <w:pPr>
        <w:tabs>
          <w:tab w:val="center" w:pos="4533"/>
          <w:tab w:val="left" w:pos="7497"/>
        </w:tabs>
        <w:suppressAutoHyphens/>
        <w:adjustRightInd w:val="0"/>
        <w:snapToGrid w:val="0"/>
        <w:spacing w:line="560" w:lineRule="exact"/>
        <w:rPr>
          <w:rFonts w:hint="eastAsia" w:ascii="黑体" w:hAnsi="宋体" w:eastAsia="黑体" w:cs="黑体"/>
          <w:sz w:val="32"/>
          <w:szCs w:val="32"/>
          <w:lang w:bidi="ar"/>
        </w:rPr>
      </w:pPr>
    </w:p>
    <w:p w14:paraId="50F6CBC1">
      <w:pPr>
        <w:tabs>
          <w:tab w:val="center" w:pos="4533"/>
          <w:tab w:val="left" w:pos="7497"/>
        </w:tabs>
        <w:suppressAutoHyphens/>
        <w:adjustRightInd w:val="0"/>
        <w:snapToGrid w:val="0"/>
        <w:spacing w:line="560" w:lineRule="exact"/>
        <w:jc w:val="center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第二章 组织管理与职责分工</w:t>
      </w:r>
    </w:p>
    <w:p w14:paraId="193FDB75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心为本项目主管单位，履行以下职责：（一）制定项目方案、工作内容及相关管理制度；（二）组织项目征集、评审、立项公示及结果发布；（三）统筹项目实施管理、过程监管、中期检查；（四）组织开展项目验收与绩效评价；（五）负责经费拨付及资金使用监管；（六）开展项目总结；（七）处理项目实施中的重大事项及违规问题。</w:t>
      </w:r>
    </w:p>
    <w:p w14:paraId="7B330BAE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区科协统筹做好辖区内科技服务团项目落地、服务保障、协同配合等相关工作，履行以下职责：（一）与辖区内开展服务的科技服务团建立常态化沟通机制，协调配合服务团联络对接区域内有需求的科技产业园区、企业等各类创新主体；（二）跟踪辖区内科技服务团项目实施进度，协调解决实施难题；（三）配合中心开展中期检查、项目验收及绩效评价等工作。</w:t>
      </w:r>
    </w:p>
    <w:p w14:paraId="35272AD1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项目承接单位（以下简称“承接单位”）为本项目实施责任主体，承接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单位须具有独立法人资格，不接受非法人单位和个人承接，承接单位负责人为同一人或者存在直接控股、管理关系的不同单位，不得同时承接本项目（不包括间接的控股或管理关系）。承接单位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负责本项目的全流程筹备、组织、实施等工作，履行以下职责：（一）严格按申报通知要求及合同约定组织实施项目；（二）建立项目专项工作机制，明确负责人、经办人及岗位职责；（三）落实专款专用，规范经费使用；（四）留存完整项目档案（含需求台账、蹲点报告、会议纪要、照片、财务凭证等）；（五）按时报送项目进度、工作总结、经费使用及绩效材料，对所报送的全部材料的真实性、合法性承担主体责任；（六）接受并配合中心及相关部门的检查、审计与验收；（七）制定应急预案，做好安全管理、舆情管控及风险防控。</w:t>
      </w:r>
    </w:p>
    <w:p w14:paraId="75B8A697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本项目严禁转包、分包。</w:t>
      </w:r>
    </w:p>
    <w:p w14:paraId="3E64181F">
      <w:pPr>
        <w:pStyle w:val="3"/>
        <w:widowControl/>
        <w:spacing w:before="0" w:beforeAutospacing="0" w:after="0" w:afterAutospacing="0" w:line="560" w:lineRule="exact"/>
        <w:jc w:val="center"/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  <w:t>第三章 项目流程及实施管理</w:t>
      </w:r>
    </w:p>
    <w:p w14:paraId="42A965DD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本项目以征集评选形式开展，评审程序包括：项目征集、形式审查、专家评审、公告、合同签订等环节。</w:t>
      </w:r>
    </w:p>
    <w:p w14:paraId="382540DD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项目合同是项目执行、监督检查、验收的依据，载明具体考核指标和应提供的验收资料。项目因故终止实施的，应办理解除合同手续并退回项目经费。</w:t>
      </w:r>
    </w:p>
    <w:p w14:paraId="4F367964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承接单位应当在合同约定时间内完成项目任务，并按合同要求在完成任务或实施期满后提交相关项目验收材料。中心按照项目合同约定的程序和方法组织完成验收。</w:t>
      </w:r>
    </w:p>
    <w:p w14:paraId="6CF41D5A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项目实施严格遵守非营利规定，在以科技服务团名义开展相关服务及活动过程中，禁止以营利为目的向供需双方收取费用。</w:t>
      </w:r>
    </w:p>
    <w:p w14:paraId="66B97975">
      <w:pPr>
        <w:pStyle w:val="3"/>
        <w:widowControl/>
        <w:spacing w:before="0" w:beforeAutospacing="0" w:after="0" w:afterAutospacing="0" w:line="560" w:lineRule="exact"/>
        <w:jc w:val="center"/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  <w:t>第四章 经费管理</w:t>
      </w:r>
    </w:p>
    <w:p w14:paraId="36708AF1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经费为市级财政专项经费，专款专用、单独核算，承接单位为经费使用直接责任主体，须留存合法合规票据，主动接受财政、审计、纪检及中心的监督检查，配合提供相关材料。经费拨付采取一次性拨付，承接单位完整履行项目任务后所结余的项目经费，中心有权收回。</w:t>
      </w:r>
    </w:p>
    <w:p w14:paraId="6D3A3E58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项目支持标准由中心结合年度预算及项目实际确定，鼓励各承接单位提供配套资金，增强项目实施能力。</w:t>
      </w:r>
    </w:p>
    <w:p w14:paraId="38B92AEA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经费支出范围严格限定为项目实施直接相关费用，包括专家劳务费、专家讲课费、活动会议场地费、资</w:t>
      </w:r>
      <w:r>
        <w:rPr>
          <w:rFonts w:hint="eastAsia" w:ascii="仿宋_GB2312" w:eastAsia="仿宋_GB2312"/>
          <w:color w:val="000000"/>
          <w:sz w:val="32"/>
          <w:szCs w:val="32"/>
        </w:rPr>
        <w:t>料印刷费、活动物料制作费、设备租赁费、误餐费等因开展项目而产生的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合理支出。</w:t>
      </w:r>
    </w:p>
    <w:p w14:paraId="7C53CC56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本项目经费不得用于以下支出：</w:t>
      </w:r>
    </w:p>
    <w:p w14:paraId="451BD957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（一）各种非必要、福利性支出。</w:t>
      </w:r>
    </w:p>
    <w:p w14:paraId="097AA2AA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（二）日常办公、出国、业务招待、房租等支出。</w:t>
      </w:r>
    </w:p>
    <w:p w14:paraId="181CDD0D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（三）设备设施的购置与维修改造。</w:t>
      </w:r>
    </w:p>
    <w:p w14:paraId="017F327B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（四）各种形式发放的人员薪资、补贴，用于组织、管理和协调等各种管理性费用支出。</w:t>
      </w:r>
    </w:p>
    <w:p w14:paraId="40C9AA64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（五）罚款、还贷、捐赠、赞助、投资、活动奖金支出。</w:t>
      </w:r>
    </w:p>
    <w:p w14:paraId="573B8341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（六）与项目涉及工作无关的其他支出。</w:t>
      </w:r>
    </w:p>
    <w:p w14:paraId="1B6D864F">
      <w:pPr>
        <w:pStyle w:val="3"/>
        <w:widowControl/>
        <w:spacing w:before="0" w:beforeAutospacing="0" w:after="0" w:afterAutospacing="0" w:line="560" w:lineRule="exact"/>
        <w:jc w:val="center"/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cs="黑体"/>
          <w:b w:val="0"/>
          <w:bCs w:val="0"/>
          <w:kern w:val="2"/>
          <w:sz w:val="32"/>
          <w:szCs w:val="32"/>
          <w:lang w:bidi="ar"/>
        </w:rPr>
        <w:t>第五章 监督考核与项目验收</w:t>
      </w:r>
    </w:p>
    <w:p w14:paraId="248985C8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中心对本项目实行全过程绩效管理，建立“日常监管+中期检查+年度验收”的考核体系。</w:t>
      </w:r>
    </w:p>
    <w:p w14:paraId="36211189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承接单位存在以下情形之一的，中心责令限期整改：（一）未按时报送项目中期进展，包括工作台账、活动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计划等；（二）未按时报送项目验收材料，包括需求清单、蹲点报告、经费使用明细、项目总结等；（三）项目进度严重滞后、服务质量不达标；（四）经费使用不规范、经费支出进展缓慢；（五）擅自变更主要服务区域、重点服务对象、调整重要会议或工作实施计划；（六）台账不完整、档案管理混乱、资料缺失。经限期整改后仍不合格的，中心有权撤销项目资格、追回相应项目经费并追究相关人员责任。</w:t>
      </w:r>
    </w:p>
    <w:p w14:paraId="54013A09">
      <w:pPr>
        <w:pStyle w:val="4"/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承接单位在项目执行过程中存在以下违规情形的，中心有权直接撤销项目资格、追回相应项目经费</w:t>
      </w:r>
      <w:r>
        <w:rPr>
          <w:rFonts w:hint="eastAsia" w:ascii="仿宋_GB2312" w:eastAsia="仿宋_GB2312"/>
          <w:color w:val="000000"/>
          <w:sz w:val="32"/>
          <w:szCs w:val="32"/>
        </w:rPr>
        <w:t>并追究相关人员的责任。</w:t>
      </w:r>
    </w:p>
    <w:p w14:paraId="581535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（一）项目合同期限内未照合同约定及本办法规定用途、期限使用项目经费；</w:t>
      </w:r>
    </w:p>
    <w:p w14:paraId="7F903C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（二）不能提供相应资金支出证明材料，如会议记录、照片、签到表、发票、银行回单等材料或材料支撑力不足、与项目实施无关；</w:t>
      </w:r>
    </w:p>
    <w:p w14:paraId="5C7806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拒不接受监督检查、整改或弄虚作假、虚报瞒报；</w:t>
      </w:r>
    </w:p>
    <w:p w14:paraId="6DF351E5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（四）截</w:t>
      </w:r>
      <w:r>
        <w:rPr>
          <w:rFonts w:hint="eastAsia" w:ascii="仿宋_GB2312" w:hAnsi="仿宋_GB2312" w:eastAsia="仿宋_GB2312" w:cs="仿宋_GB2312"/>
          <w:sz w:val="32"/>
          <w:szCs w:val="32"/>
        </w:rPr>
        <w:t>留、挤占、挪用、套取、骗取项目资金；</w:t>
      </w:r>
    </w:p>
    <w:p w14:paraId="30B17511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发生重大安全事故、舆情事件或发表不当言论，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造成重大影响；</w:t>
      </w:r>
    </w:p>
    <w:p w14:paraId="3F915672">
      <w:pPr>
        <w:spacing w:line="56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）违反本办法第八条规定，擅自转包、分包项目任务的；</w:t>
      </w:r>
    </w:p>
    <w:p w14:paraId="794E846E">
      <w:pPr>
        <w:spacing w:line="56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）其他违反国家有关法律、法规的行为。</w:t>
      </w:r>
    </w:p>
    <w:p w14:paraId="04AC20C2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承接单位须制定安全与舆情应急预案，落实活动人员审核、现场安全管理、言论规范管控；发生突发事件、安全事故或舆情问题，须第一时间处置并向中心报告，不得迟报、瞒报、漏报。</w:t>
      </w:r>
    </w:p>
    <w:p w14:paraId="16A3E00F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项目完成后，承接单位按要求提交验收材料并对材料真实性、完整性、合规性负责，中心对本项目开展验收及绩效评价，验收结论分为合格、不合格。</w:t>
      </w:r>
    </w:p>
    <w:p w14:paraId="5C7F9AFD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验收合格：按合同约定完成全部任务指标，经费使用合规，项目材料完整；</w:t>
      </w:r>
    </w:p>
    <w:p w14:paraId="343CD7EC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验收不合格：未按合同约定完成项目任务指标、经费使用违规、项目材料缺失；验收不合格的承接单位限期15个工作日内完成整改，整改后仍不合格的，按第十八条处理。</w:t>
      </w:r>
    </w:p>
    <w:p w14:paraId="7BE64BBD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专家、第三方机构在评审、评价、验收中存在弄虚作假、徇私舞弊的，视情节轻重，中心可取消其参与本项目资格，宣布其出具的相关结果无效，并追究相关责任。</w:t>
      </w:r>
    </w:p>
    <w:p w14:paraId="3BB8A7AD">
      <w:pPr>
        <w:adjustRightInd w:val="0"/>
        <w:snapToGrid w:val="0"/>
        <w:spacing w:line="560" w:lineRule="exact"/>
        <w:jc w:val="center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第六章 附则</w:t>
      </w:r>
    </w:p>
    <w:p w14:paraId="618202D7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本办法未尽事宜，按照国家及北京市相关法律法规、政策文件执行。</w:t>
      </w:r>
    </w:p>
    <w:p w14:paraId="3621AA59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本办法由北京市科学技术协会创新服务中心负责解释。</w:t>
      </w:r>
    </w:p>
    <w:p w14:paraId="594FC50B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发布之日起施行。</w:t>
      </w:r>
    </w:p>
    <w:p w14:paraId="3F5248A5">
      <w:pPr>
        <w:spacing w:line="560" w:lineRule="exact"/>
      </w:pPr>
    </w:p>
    <w:p w14:paraId="7D65697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695AF"/>
    <w:multiLevelType w:val="singleLevel"/>
    <w:tmpl w:val="3F7695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2026-06-03T07:57:08Z</dcterms:created>
  <dc:creator>111</dc:creator>
  <cp:lastModifiedBy>111</cp:lastModifiedBy>
  <dcterms:modified xsi:type="dcterms:W3CDTF">2026-06-03T07:57:59Z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4BD5A6FFEA6D46DB961F433DBF5EA509_12</vt:lpwstr>
  </property>
</Properties>
</file>